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keepNext w:val="true"/>
        <w:keepLines/>
        <w:numPr>
          <w:ilvl w:val="0"/>
          <w:numId w:val="0"/>
        </w:numPr>
        <w:spacing w:before="480" w:after="0"/>
        <w:rPr/>
      </w:pPr>
      <w:r>
        <w:rPr/>
        <w:t>2025 Sunucu Performans İzleme Makalesi: Bilmeniz Gereken Temel Teknikler</w:t>
      </w:r>
    </w:p>
    <w:p>
      <w:pPr>
        <w:pStyle w:val="Normal"/>
        <w:rPr/>
      </w:pPr>
      <w:r>
        <w:rPr/>
        <w:t>Sunucu günlüklerinin sistem yöneticileri için hayati önem taşıdığını biliyor muydunuz? Bu makalede, 2025 yılında sunucu performans izleme konusunda bilmeniz gereken temel teknikleri inceliyoruz. Günümüzde sunucu izleme araçları, sistemlerin kesintisiz ve sorunsuz çalışması için kritik öneme sahiptir.</w:t>
      </w:r>
    </w:p>
    <w:p>
      <w:pPr>
        <w:pStyle w:val="Normal"/>
        <w:rPr/>
      </w:pPr>
      <w:r>
        <w:rPr/>
        <w:t>Sunucu izleme, bir ağ altyapısında bulunan sunucuların performans, erişilebilirlik ve genel sağlık durumlarını düzenli olarak gözlemlemeyi içerir. Bilimsel makale kaynaklarından elde ettiğimiz verilere göre, bu araçlar CPU tüketimi, bellek kullanımı, disk alanı ve ağ trafiği gibi çeşitli metrikleri izler. Ayrıca, sunucu günlüklerinin analizi, güvenlik açıklarının tespiti ve performans iyileştirmeleri için önemli rol oynar. Google akademi makale taramalarımız sonucunda, 2025 yılı itibarıyla Nagios, Zabbix, Prometheus, SolarWinds ve Datadog gibi popüler izleme araçlarının öne çıktığını görebiliyoruz.</w:t>
      </w:r>
    </w:p>
    <w:p>
      <w:pPr>
        <w:pStyle w:val="Normal"/>
        <w:rPr/>
      </w:pPr>
      <w:r>
        <w:rPr/>
        <w:t>Bu makalede, sizlerle birlikte sunucu izleme süreçlerini derinlemesine inceleyecek ve makale örnekleri üzerinden hangi araçların hangi durumlarda daha etkili olduğunu tartışacağız. Özellikle ELK Stack gibi log analizi çözümlerinin sistem güvenliği ve performans optimizasyonu açısından sunduğu avantajlara odaklanacağız.</w:t>
      </w:r>
    </w:p>
    <w:p>
      <w:pPr>
        <w:pStyle w:val="Heading2"/>
        <w:rPr/>
      </w:pPr>
      <w:r>
        <w:rPr/>
        <w:t>2025 Yılında Sunucu Performans İzlemede Kullanılan Temel Metrikler</w:t>
      </w:r>
    </w:p>
    <w:p>
      <w:pPr>
        <w:pStyle w:val="Normal"/>
        <w:rPr/>
      </w:pPr>
      <w:r>
        <w:rPr/>
        <w:t xml:space="preserve">2025 yılında sunucu performansının önemi her zamankinden daha kritik hale geldi. Sistem yöneticileri için sunucu performans metriklerini etkili biçimde izlemek, kesintisiz hizmet sunabilmenin anahtarı konumunda. Sunucu izleme araçları, CPU tüketimi, bellek kullanımı, disk alanı durumu ve ağ trafiği gibi çeşitli metrikleri analiz ederek olası sorunları önceden tespit etme imkanı sağlar </w:t>
      </w:r>
      <w:hyperlink r:id="rId2">
        <w:r>
          <w:rPr>
            <w:rStyle w:val="Style"/>
            <w:color w:val="0000EE"/>
            <w:u w:val="single"/>
          </w:rPr>
          <w:t>[1]</w:t>
        </w:r>
      </w:hyperlink>
      <w:r>
        <w:rPr/>
        <w:t>.</w:t>
      </w:r>
    </w:p>
    <w:p>
      <w:pPr>
        <w:pStyle w:val="Normal"/>
        <w:rPr/>
      </w:pPr>
      <w:r>
        <w:rPr/>
        <w:t xml:space="preserve">CPU kullanımı, sunucu performansının en temel göstergelerinden biridir. top komutu ile gerçek zamanlı olarak izlenebilen CPU kullanımı; kullanıcı alanı (us), sistem/kernel alanı (sy), boşta (id) ve G/Ç bekleme (wa) durumlarını gösterir </w:t>
      </w:r>
      <w:hyperlink r:id="rId3">
        <w:r>
          <w:rPr>
            <w:rStyle w:val="Style"/>
            <w:color w:val="0000EE"/>
            <w:u w:val="single"/>
          </w:rPr>
          <w:t>[2]</w:t>
        </w:r>
      </w:hyperlink>
      <w:r>
        <w:rPr/>
        <w:t xml:space="preserve">. Yüksek CPU kullanımı, yavaşlama ve hizmet kesintilerine neden olabildiğinden, sistem yöneticileri için CPU yükündeki ani artışları tespit etmek hayati önem taşır </w:t>
      </w:r>
      <w:hyperlink r:id="rId4">
        <w:r>
          <w:rPr>
            <w:rStyle w:val="Style"/>
            <w:color w:val="0000EE"/>
            <w:u w:val="single"/>
          </w:rPr>
          <w:t>[3]</w:t>
        </w:r>
      </w:hyperlink>
      <w:r>
        <w:rPr/>
        <w:t>.</w:t>
      </w:r>
    </w:p>
    <w:p>
      <w:pPr>
        <w:pStyle w:val="Normal"/>
        <w:rPr/>
      </w:pPr>
      <w:r>
        <w:rPr/>
        <w:t xml:space="preserve">Bellek metriklerini izlemek aynı derecede önemlidir. free komutu ile RAM ve takas alanı kullanımını kontrol edebilirsiniz. Bu komut total (toplam), used (kullanılan), free (boş), shared (paylaşılan) ve buff/cache (tampon/önbellek) değerlerini gösterir </w:t>
      </w:r>
      <w:hyperlink r:id="rId5">
        <w:r>
          <w:rPr>
            <w:rStyle w:val="Style"/>
            <w:color w:val="0000EE"/>
            <w:u w:val="single"/>
          </w:rPr>
          <w:t>[4]</w:t>
        </w:r>
      </w:hyperlink>
      <w:r>
        <w:rPr/>
        <w:t xml:space="preserve">. Linux sistemlerinde %99 bellek kullanımı yaygın olarak görülse de, bu durum her zaman bir sorun göstergesi değildir. Bellek baskısı durumunda çekirdek, uygulamaların kullanabilmesi için sayfa önbelleği için kullanılan belleği geri döndürür </w:t>
      </w:r>
      <w:hyperlink r:id="rId6">
        <w:r>
          <w:rPr>
            <w:rStyle w:val="Style"/>
            <w:color w:val="0000EE"/>
            <w:u w:val="single"/>
          </w:rPr>
          <w:t>[5]</w:t>
        </w:r>
      </w:hyperlink>
      <w:r>
        <w:rPr/>
        <w:t>.</w:t>
      </w:r>
    </w:p>
    <w:p>
      <w:pPr>
        <w:pStyle w:val="Normal"/>
        <w:rPr/>
      </w:pPr>
      <w:r>
        <w:rPr/>
        <w:t xml:space="preserve">Disk G/Ç performansı da önemli metrikler arasındadır. G/Ç işlemlerinin tamamlanması için gereken süreyi belirten gecikme süresi, işlem başına işlenen veri miktarını gösteren G/Ç boyutu, ve saniye başına giriş/çıkış işlemlerini ifade eden IOPS değerleri düzenli takip edilmelidir </w:t>
      </w:r>
      <w:hyperlink r:id="rId7">
        <w:r>
          <w:rPr>
            <w:rStyle w:val="Style"/>
            <w:color w:val="0000EE"/>
            <w:u w:val="single"/>
          </w:rPr>
          <w:t>[6]</w:t>
        </w:r>
      </w:hyperlink>
      <w:hyperlink r:id="rId8">
        <w:r>
          <w:rPr>
            <w:rStyle w:val="Style"/>
            <w:color w:val="0000EE"/>
            <w:u w:val="single"/>
          </w:rPr>
          <w:t>[5]</w:t>
        </w:r>
      </w:hyperlink>
      <w:r>
        <w:rPr/>
        <w:t xml:space="preserve">. Genellikle 10ms'den düşük gecikme süresi çok iyi, 20ms'den düşük ise kabul edilebilir olarak değerlendirilir. 40ms'den yüksek değerler ise endişe vericidir </w:t>
      </w:r>
      <w:hyperlink r:id="rId9">
        <w:r>
          <w:rPr>
            <w:rStyle w:val="Style"/>
            <w:color w:val="0000EE"/>
            <w:u w:val="single"/>
          </w:rPr>
          <w:t>[7]</w:t>
        </w:r>
      </w:hyperlink>
      <w:r>
        <w:rPr/>
        <w:t>.</w:t>
      </w:r>
    </w:p>
    <w:p>
      <w:pPr>
        <w:pStyle w:val="Normal"/>
        <w:rPr/>
      </w:pPr>
      <w:r>
        <w:rPr/>
        <w:t xml:space="preserve">Ağ metrikleri açısından, paket kaybı ve gecikme süresi kritik öneme sahiptir. Paket kaybı, gönderilen veri paketlerinin hedefe ulaşmadan kaybolma oranını gösterirken, gecikme süresi veri paketlerinin kaynaktan hedefe ulaşma süresini belirtir </w:t>
      </w:r>
      <w:hyperlink r:id="rId10">
        <w:r>
          <w:rPr>
            <w:rStyle w:val="Style"/>
            <w:color w:val="0000EE"/>
            <w:u w:val="single"/>
          </w:rPr>
          <w:t>[8]</w:t>
        </w:r>
      </w:hyperlink>
      <w:r>
        <w:rPr/>
        <w:t>. Düşük gecikme süresi, ağ performansının iyi olduğunun göstergesidir.</w:t>
      </w:r>
    </w:p>
    <w:p>
      <w:pPr>
        <w:pStyle w:val="Normal"/>
        <w:rPr/>
      </w:pPr>
      <w:r>
        <w:rPr/>
        <w:t xml:space="preserve">Yük ortalaması değerleri, sistemin ne kadar yoğun çalıştığını gösterir. Bu değer 1.00 olduğunda, tek çekirdekli bir CPU'nun tam kapasite çalıştığını ifade eder. Çok çekirdekli sistemlerde bu değer çekirdek sayısı ile orantılı olarak artabilir </w:t>
      </w:r>
      <w:hyperlink r:id="rId11">
        <w:r>
          <w:rPr>
            <w:rStyle w:val="Style"/>
            <w:color w:val="0000EE"/>
            <w:u w:val="single"/>
          </w:rPr>
          <w:t>[2]</w:t>
        </w:r>
      </w:hyperlink>
      <w:r>
        <w:rPr/>
        <w:t>.</w:t>
      </w:r>
    </w:p>
    <w:p>
      <w:pPr>
        <w:pStyle w:val="Normal"/>
        <w:rPr/>
      </w:pPr>
      <w:r>
        <w:rPr/>
        <w:t xml:space="preserve">2025'te, kullanıcıların beklentileri her zamankinden daha yüksek. Kimse yavaş yüklenen bir web sitesine sabır göstermek istemiyor </w:t>
      </w:r>
      <w:hyperlink r:id="rId12">
        <w:r>
          <w:rPr>
            <w:rStyle w:val="Style"/>
            <w:color w:val="0000EE"/>
            <w:u w:val="single"/>
          </w:rPr>
          <w:t>[9]</w:t>
        </w:r>
      </w:hyperlink>
      <w:r>
        <w:rPr/>
        <w:t xml:space="preserve">. Bu nedenle, modern sunucu izleme araçları gerçek zamanlı veri toplama, analiz yeteneği ve özelleştirilebilir bildirimler sunarak sistem yöneticilerinin sorunları hızlıca tespit etmesine olanak tanıyor </w:t>
      </w:r>
      <w:hyperlink r:id="rId13">
        <w:r>
          <w:rPr>
            <w:rStyle w:val="Style"/>
            <w:color w:val="0000EE"/>
            <w:u w:val="single"/>
          </w:rPr>
          <w:t>[1]</w:t>
        </w:r>
      </w:hyperlink>
      <w:hyperlink r:id="rId14">
        <w:r>
          <w:rPr>
            <w:rStyle w:val="Style"/>
            <w:color w:val="0000EE"/>
            <w:u w:val="single"/>
          </w:rPr>
          <w:t>[10]</w:t>
        </w:r>
      </w:hyperlink>
      <w:r>
        <w:rPr/>
        <w:t>.</w:t>
      </w:r>
    </w:p>
    <w:p>
      <w:pPr>
        <w:pStyle w:val="Heading2"/>
        <w:rPr/>
      </w:pPr>
      <w:r>
        <w:rPr/>
        <w:t>Materials and Methods: İzleme Ortamı ve Araç Yapılandırması</w:t>
      </w:r>
    </w:p>
    <w:p>
      <w:pPr>
        <w:pStyle w:val="Normal"/>
        <w:rPr/>
      </w:pPr>
      <w:r>
        <w:rPr/>
        <w:t>Sunucu izleme sistemlerini kurarken kullanacağınız araçlar ve yöntemler, altyapınıza göre değişiklik gösterir. Aşağıda, 2025 yılında öne çıkan izleme ortamları ve araç yapılandırmalarına yer vereceğim.</w:t>
      </w:r>
    </w:p>
    <w:p>
      <w:pPr>
        <w:pStyle w:val="Normal"/>
        <w:rPr/>
      </w:pPr>
      <w:r>
        <w:rPr/>
        <w:t>Sunucu izleme araçları, temel olarak iki farklı yöntemle çalışır. Agent Tabanlı İzleme yönteminde, izlenecek sunucuya küçük bir yazılım (agent) kurulur ve bu yazılım aracılığıyla detaylı veriler toplanıp merkez sunucuya gönderilir. Agentsiz İzleme yönteminde ise SNMP veya WMI gibi protokoller kullanılarak, sunucuya herhangi bir yazılım kurmadan veri toplanabilir.</w:t>
      </w:r>
    </w:p>
    <w:p>
      <w:pPr>
        <w:pStyle w:val="Normal"/>
        <w:rPr/>
      </w:pPr>
      <w:r>
        <w:rPr/>
        <w:t>Zabbix gibi açık kaynaklı araçlar, 2025 yılında popülerliğini artırmaya devam ediyor. Zabbix kurulumu için öncelikle sunucunuza bu aracı yüklemeniz ve ardından izlemek istediğiniz sistemlere agent kurmanız gerekiyor. Agent kurulumundan sonra, verilerin sağlıklı toplanabilmesi için en az 1 saat beklemeniz tavsiye edilir. Bu süreçte Zabbix, web tabanlı arayüzü ve özelleştirilebilir panelleri sayesinde kullanıcı dostu bir deneyim sunar.</w:t>
      </w:r>
    </w:p>
    <w:p>
      <w:pPr>
        <w:pStyle w:val="Normal"/>
        <w:rPr/>
      </w:pPr>
      <w:r>
        <w:rPr/>
        <w:t>Prometheus ve Grafana ikili kullanımı da yaygınlaşmaktadır. Prometheus zaman serisi veri toplama özellikleriyle öne çıkarken, Grafana bu verileri görselleştirmede mükemmel performans gösterir. Kurulum sürecinde, sunucunuzda gerekli grup ve kullanıcıları oluşturmanız, ardından Prometheus'u indirip yapılandırmanız gerekmektedir. Grafana'yı Prometheus ile entegre etmek için ise, veri kaynakları yapılandırması yapmanız ve uygun gösterge panellerini içe aktarmanız yeterlidir.</w:t>
      </w:r>
    </w:p>
    <w:p>
      <w:pPr>
        <w:pStyle w:val="Normal"/>
        <w:rPr/>
      </w:pPr>
      <w:r>
        <w:rPr/>
        <w:t>Logstash gibi veri işleme bileşenleri, ELK Stack'in bir parçası olarak log yönetiminde kritik rol oynar. Logstash, farklı kaynaklardan veri toplayıp işleyerek Elasticsearch'e iletir. Bu yapı, veri dönüşümü ve merkezi veri toplama imkanları sunar.Hangi aracı seçerseniz seçin, kurulum sonrası mutlaka güvenlik duvarı ayarlarınızı güncelleyin ve gerekli portları açın. Ayrıca, sistemlerinizin performansını düzenli olarak izleyerek, olası sorunları erkenden tespit edebilirsiniz.</w:t>
      </w:r>
    </w:p>
    <w:p>
      <w:pPr>
        <w:pStyle w:val="Heading2"/>
        <w:rPr/>
      </w:pPr>
      <w:r>
        <w:rPr/>
        <w:t>Sonuç, Tartışma ve Sınırlamalar</w:t>
        <w:br/>
      </w:r>
      <w:r>
        <w:rPr>
          <w:b w:val="false"/>
          <w:bCs w:val="false"/>
          <w:color w:val="000000"/>
        </w:rPr>
        <w:t>Bu çalışmada, sunucu izleme araçlarının güçlü yönleri ve sınırlamaları detaylı bir şekilde ele alınmıştır. 2025 itibarıyla sunucu izleme teknolojileri, BT altyapısının vazgeçilmez bileşenlerinden biri haline gelmiştir. Bu araçların etkin kullanımı, kesintisiz hizmet sunumu ve potansiyel sorunların erken tespiti için kritik öneme sahiptir. Bu bilgiler ışığında, sistem izleme stratejilerinizin daha sağlam temellere oturması hedeflenmiştir.</w:t>
      </w:r>
    </w:p>
    <w:p>
      <w:pPr>
        <w:pStyle w:val="Yatayizgi"/>
        <w:rPr/>
      </w:pPr>
      <w:r>
        <w:rPr/>
      </w:r>
    </w:p>
    <w:p>
      <w:pPr>
        <w:pStyle w:val="Heading2"/>
        <w:spacing w:before="200" w:after="283"/>
        <w:rPr/>
      </w:pPr>
      <w:r>
        <w:rPr>
          <w:rStyle w:val="Strong"/>
          <w:b/>
          <w:bCs/>
        </w:rPr>
        <w:t>Tartışma</w:t>
      </w:r>
    </w:p>
    <w:p>
      <w:pPr>
        <w:pStyle w:val="BodyText"/>
        <w:rPr/>
      </w:pPr>
      <w:r>
        <w:rPr/>
        <w:t>Prometheus, zaman serisi veri toplama ve PromQL sorgulama dili ile öne çıkarken, veri etiketleme özellikleri sayesinde derinlemesine analiz imkanı sunmaktadır.</w:t>
      </w:r>
    </w:p>
    <w:p>
      <w:pPr>
        <w:pStyle w:val="BodyText"/>
        <w:rPr/>
      </w:pPr>
      <w:r>
        <w:rPr/>
        <w:t>Zabbix, otomatik cihaz keşfi ve özelleştirilebilir panelleriyle kullanıcı dostu bir yapı sunsa da, kurulumunun karmaşıklığı ve ölçeklenebilirlik sorunları bazı dezavantajlar yaratmaktadır.</w:t>
      </w:r>
    </w:p>
    <w:p>
      <w:pPr>
        <w:pStyle w:val="BodyText"/>
        <w:rPr/>
      </w:pPr>
      <w:r>
        <w:rPr/>
        <w:t>SolarWinds SAM, hem fiziksel hem de sanal sunucuları izleyerek kapsamlı performans verileri sağlar. Uygulama yanıt süresi, sorgu performansı gibi detaylı metrikleri analiz edebilmesi, onu güçlü bir alternatif haline getirir.</w:t>
      </w:r>
    </w:p>
    <w:p>
      <w:pPr>
        <w:pStyle w:val="BodyText"/>
        <w:rPr/>
      </w:pPr>
      <w:r>
        <w:rPr/>
        <w:t>Grafana ise özellikle anomali tespiti ve görselleştirme yetenekleriyle dikkat çekmektedir. Makine öğrenmesiyle desteklenen dinamik uyarılar, proaktif izleme stratejileri için büyük avantaj sunar.</w:t>
      </w:r>
    </w:p>
    <w:p>
      <w:pPr>
        <w:pStyle w:val="BodyText"/>
        <w:rPr/>
      </w:pPr>
      <w:r>
        <w:rPr/>
        <w:t>Prometheus ve Grafana’nın entegrasyonu, erken hata tespiti ve sistem kararlılığını sağlama konusunda etkili bir çözümdür.</w:t>
      </w:r>
    </w:p>
    <w:p>
      <w:pPr>
        <w:pStyle w:val="Yatayizgi"/>
        <w:rPr/>
      </w:pPr>
      <w:r>
        <w:rPr/>
      </w:r>
    </w:p>
    <w:p>
      <w:pPr>
        <w:pStyle w:val="Heading2"/>
        <w:spacing w:before="200" w:after="283"/>
        <w:rPr/>
      </w:pPr>
      <w:r>
        <w:rPr>
          <w:rStyle w:val="Strong"/>
          <w:b/>
          <w:bCs/>
        </w:rPr>
        <w:t>Sınırlamalar</w:t>
      </w:r>
    </w:p>
    <w:p>
      <w:pPr>
        <w:pStyle w:val="BodyText"/>
        <w:rPr>
          <w:b w:val="false"/>
          <w:bCs w:val="false"/>
        </w:rPr>
      </w:pPr>
      <w:r>
        <w:rPr>
          <w:b w:val="false"/>
          <w:bCs w:val="false"/>
        </w:rPr>
        <w:t>Tüm izleme sistemlerinde belirli sınırlamalar bulunmaktadır. Ağ gecikmeleri veya sistem tıkanıklıkları gibi durumlar, komut yanıtlarında gecikmelere yol açabilir. Ayrıca yönetim sunucularında yaşanabilecek sorunlar, izleme kesintilerine neden olabilir.</w:t>
      </w:r>
    </w:p>
    <w:p>
      <w:pPr>
        <w:pStyle w:val="BodyText"/>
        <w:rPr>
          <w:b w:val="false"/>
          <w:bCs w:val="false"/>
        </w:rPr>
      </w:pPr>
      <w:r>
        <w:rPr>
          <w:b w:val="false"/>
          <w:bCs w:val="false"/>
        </w:rPr>
        <w:t>Ancak, sadece doğru aracı seçmek yeterli değildir. Yapılandırma, bakım ve güvenlik önlemleri de izleme başarısında kilit rol oynamaktadır.</w:t>
      </w:r>
    </w:p>
    <w:p>
      <w:pPr>
        <w:pStyle w:val="Heading2"/>
        <w:rPr/>
      </w:pPr>
      <w:r>
        <w:rPr/>
        <w:br/>
      </w:r>
    </w:p>
    <w:p>
      <w:pPr>
        <w:pStyle w:val="Heading2"/>
        <w:rPr/>
      </w:pPr>
      <w:r>
        <w:rPr/>
        <w:t>Referanslar</w:t>
      </w:r>
    </w:p>
    <w:p>
      <w:pPr>
        <w:pStyle w:val="BodyText"/>
        <w:rPr/>
      </w:pPr>
      <w:hyperlink r:id="rId15" w:tgtFrame="_new">
        <w:r>
          <w:rPr>
            <w:rStyle w:val="Hyperlink"/>
            <w:color w:val="0000EE"/>
            <w:u w:val="single"/>
          </w:rPr>
          <w:t>https://www.manageengine.com/tr/applications_manager/server-monitoring.html</w:t>
        </w:r>
      </w:hyperlink>
    </w:p>
    <w:p>
      <w:pPr>
        <w:pStyle w:val="BodyText"/>
        <w:numPr>
          <w:ilvl w:val="0"/>
          <w:numId w:val="8"/>
        </w:numPr>
        <w:tabs>
          <w:tab w:val="clear" w:pos="720"/>
          <w:tab w:val="left" w:pos="0" w:leader="none"/>
        </w:tabs>
        <w:ind w:hanging="283" w:start="720"/>
        <w:rPr/>
      </w:pPr>
      <w:hyperlink r:id="rId16" w:tgtFrame="_new">
        <w:r>
          <w:rPr>
            <w:rStyle w:val="Hyperlink"/>
          </w:rPr>
          <w:t>https://linux-yonetimi.veriteknik.net.tr/gelismis-terminal-komutlari/sistem-yuekuenue-izleme</w:t>
        </w:r>
      </w:hyperlink>
    </w:p>
    <w:p>
      <w:pPr>
        <w:pStyle w:val="BodyText"/>
        <w:numPr>
          <w:ilvl w:val="0"/>
          <w:numId w:val="9"/>
        </w:numPr>
        <w:tabs>
          <w:tab w:val="clear" w:pos="720"/>
          <w:tab w:val="left" w:pos="0" w:leader="none"/>
        </w:tabs>
        <w:ind w:hanging="283" w:start="720"/>
        <w:rPr/>
      </w:pPr>
      <w:hyperlink r:id="rId17" w:tgtFrame="_new">
        <w:r>
          <w:rPr>
            <w:rStyle w:val="Hyperlink"/>
          </w:rPr>
          <w:t>https://www.manageengine.com/tr/network-monitoring/cpu-monitoring.html</w:t>
        </w:r>
      </w:hyperlink>
    </w:p>
    <w:p>
      <w:pPr>
        <w:pStyle w:val="BodyText"/>
        <w:numPr>
          <w:ilvl w:val="0"/>
          <w:numId w:val="10"/>
        </w:numPr>
        <w:tabs>
          <w:tab w:val="clear" w:pos="720"/>
          <w:tab w:val="left" w:pos="0" w:leader="none"/>
        </w:tabs>
        <w:ind w:hanging="283" w:start="720"/>
        <w:rPr/>
      </w:pPr>
      <w:hyperlink r:id="rId18" w:tgtFrame="_new">
        <w:r>
          <w:rPr>
            <w:rStyle w:val="Hyperlink"/>
          </w:rPr>
          <w:t>https://volkandogan.net/tr/linux-terminalden-ram-bellek-swap-degerlerine-bakmak/</w:t>
        </w:r>
      </w:hyperlink>
    </w:p>
    <w:p>
      <w:pPr>
        <w:pStyle w:val="BodyText"/>
        <w:numPr>
          <w:ilvl w:val="0"/>
          <w:numId w:val="11"/>
        </w:numPr>
        <w:tabs>
          <w:tab w:val="clear" w:pos="720"/>
          <w:tab w:val="left" w:pos="0" w:leader="none"/>
        </w:tabs>
        <w:ind w:hanging="283" w:start="720"/>
        <w:rPr/>
      </w:pPr>
      <w:hyperlink r:id="rId19" w:tgtFrame="_new">
        <w:r>
          <w:rPr>
            <w:rStyle w:val="Hyperlink"/>
          </w:rPr>
          <w:t>https://learn.microsoft.com/tr-tr/troubleshoot/azure/virtual-machines/linux/troubleshoot-performance-bottlenecks-linux</w:t>
        </w:r>
      </w:hyperlink>
    </w:p>
    <w:p>
      <w:pPr>
        <w:pStyle w:val="BodyText"/>
        <w:numPr>
          <w:ilvl w:val="0"/>
          <w:numId w:val="12"/>
        </w:numPr>
        <w:tabs>
          <w:tab w:val="clear" w:pos="720"/>
          <w:tab w:val="left" w:pos="0" w:leader="none"/>
        </w:tabs>
        <w:ind w:hanging="283" w:start="720"/>
        <w:rPr/>
      </w:pPr>
      <w:hyperlink r:id="rId20" w:tgtFrame="_new">
        <w:r>
          <w:rPr>
            <w:rStyle w:val="Hyperlink"/>
          </w:rPr>
          <w:t>https://learn.microsoft.com/tr-tr/azure/azure-local/manage/diskspd-overview</w:t>
        </w:r>
      </w:hyperlink>
    </w:p>
    <w:p>
      <w:pPr>
        <w:pStyle w:val="BodyText"/>
        <w:numPr>
          <w:ilvl w:val="0"/>
          <w:numId w:val="13"/>
        </w:numPr>
        <w:tabs>
          <w:tab w:val="clear" w:pos="720"/>
          <w:tab w:val="left" w:pos="0" w:leader="none"/>
        </w:tabs>
        <w:ind w:hanging="283" w:start="720"/>
        <w:rPr/>
      </w:pPr>
      <w:r>
        <w:rPr/>
        <w:t>https://www.dell.com/support/kbdoc/tr-tr/000299934/live-optics-optik-başbakan-gecikmeyle-ilgili-temel-bilgiler</w:t>
      </w:r>
    </w:p>
    <w:p>
      <w:pPr>
        <w:pStyle w:val="BodyText"/>
        <w:numPr>
          <w:ilvl w:val="0"/>
          <w:numId w:val="14"/>
        </w:numPr>
        <w:tabs>
          <w:tab w:val="clear" w:pos="720"/>
          <w:tab w:val="left" w:pos="0" w:leader="none"/>
        </w:tabs>
        <w:ind w:hanging="283" w:start="720"/>
        <w:rPr/>
      </w:pPr>
      <w:hyperlink r:id="rId21" w:tgtFrame="_new">
        <w:r>
          <w:rPr>
            <w:rStyle w:val="Hyperlink"/>
          </w:rPr>
          <w:t>https://synchron.com.tr/ag-yonetiminde-hizmet-kalitesi-qos-ve-performans/</w:t>
        </w:r>
      </w:hyperlink>
    </w:p>
    <w:p>
      <w:pPr>
        <w:pStyle w:val="BodyText"/>
        <w:numPr>
          <w:ilvl w:val="0"/>
          <w:numId w:val="15"/>
        </w:numPr>
        <w:tabs>
          <w:tab w:val="clear" w:pos="720"/>
          <w:tab w:val="left" w:pos="0" w:leader="none"/>
        </w:tabs>
        <w:ind w:hanging="283" w:start="720"/>
        <w:rPr/>
      </w:pPr>
      <w:hyperlink r:id="rId22" w:tgtFrame="_new">
        <w:r>
          <w:rPr>
            <w:rStyle w:val="Hyperlink"/>
          </w:rPr>
          <w:t>https://www.clicksus.com/2025-seo-trendleri-neler</w:t>
        </w:r>
      </w:hyperlink>
    </w:p>
    <w:p>
      <w:pPr>
        <w:pStyle w:val="BodyText"/>
        <w:numPr>
          <w:ilvl w:val="0"/>
          <w:numId w:val="16"/>
        </w:numPr>
        <w:tabs>
          <w:tab w:val="clear" w:pos="720"/>
          <w:tab w:val="left" w:pos="0" w:leader="none"/>
        </w:tabs>
        <w:ind w:hanging="283" w:start="720"/>
        <w:rPr/>
      </w:pPr>
      <w:hyperlink r:id="rId23" w:tgtFrame="_new">
        <w:r>
          <w:rPr>
            <w:rStyle w:val="Hyperlink"/>
          </w:rPr>
          <w:t>https://tsplus.net/tr/top-server-performance-monitoring-tools/</w:t>
        </w:r>
      </w:hyperlink>
    </w:p>
    <w:p>
      <w:pPr>
        <w:pStyle w:val="BodyText"/>
        <w:numPr>
          <w:ilvl w:val="0"/>
          <w:numId w:val="17"/>
        </w:numPr>
        <w:tabs>
          <w:tab w:val="clear" w:pos="720"/>
          <w:tab w:val="left" w:pos="0" w:leader="none"/>
        </w:tabs>
        <w:ind w:hanging="283" w:start="720"/>
        <w:rPr/>
      </w:pPr>
      <w:hyperlink r:id="rId24" w:tgtFrame="_new">
        <w:r>
          <w:rPr>
            <w:rStyle w:val="Hyperlink"/>
          </w:rPr>
          <w:t>https://www.cozumpark.com/2025in-en-iyi-sunucu-izleme-araclari-kapsamli-inceleme/</w:t>
        </w:r>
      </w:hyperlink>
    </w:p>
    <w:p>
      <w:pPr>
        <w:pStyle w:val="BodyText"/>
        <w:numPr>
          <w:ilvl w:val="0"/>
          <w:numId w:val="18"/>
        </w:numPr>
        <w:tabs>
          <w:tab w:val="clear" w:pos="720"/>
          <w:tab w:val="left" w:pos="0" w:leader="none"/>
        </w:tabs>
        <w:ind w:hanging="283" w:start="720"/>
        <w:rPr/>
      </w:pPr>
      <w:hyperlink r:id="rId25" w:tgtFrame="_new">
        <w:r>
          <w:rPr>
            <w:rStyle w:val="Hyperlink"/>
          </w:rPr>
          <w:t>https://odya.com.tr/blog/solarwinds-server-and-application-monitor-sam-ile-bt-altyapinizi-tam-kontrol-altina-alin/</w:t>
        </w:r>
      </w:hyperlink>
    </w:p>
    <w:p>
      <w:pPr>
        <w:pStyle w:val="BodyText"/>
        <w:numPr>
          <w:ilvl w:val="0"/>
          <w:numId w:val="19"/>
        </w:numPr>
        <w:tabs>
          <w:tab w:val="clear" w:pos="720"/>
          <w:tab w:val="left" w:pos="0" w:leader="none"/>
        </w:tabs>
        <w:ind w:hanging="283" w:start="720"/>
        <w:rPr/>
      </w:pPr>
      <w:hyperlink r:id="rId26" w:tgtFrame="_new">
        <w:r>
          <w:rPr>
            <w:rStyle w:val="Hyperlink"/>
          </w:rPr>
          <w:t>https://grafana.com/blog/2024/07/02/identify-anomalies-outlier-detection-forecasting-how-grafana-cloud-uses-ai-ml-to-make-observability-easier/</w:t>
        </w:r>
      </w:hyperlink>
    </w:p>
    <w:p>
      <w:pPr>
        <w:pStyle w:val="BodyText"/>
        <w:numPr>
          <w:ilvl w:val="0"/>
          <w:numId w:val="20"/>
        </w:numPr>
        <w:tabs>
          <w:tab w:val="clear" w:pos="720"/>
          <w:tab w:val="left" w:pos="0" w:leader="none"/>
        </w:tabs>
        <w:ind w:hanging="283" w:start="720"/>
        <w:rPr/>
      </w:pPr>
      <w:hyperlink r:id="rId27" w:tgtFrame="_new">
        <w:r>
          <w:rPr>
            <w:rStyle w:val="Hyperlink"/>
          </w:rPr>
          <w:t>https://www.ibm.com/docs/tr/SSSHRK_4.2.0/ref/reference/ref_scripts_snmp_walk.pl.html</w:t>
        </w:r>
      </w:hyperlink>
    </w:p>
    <w:p>
      <w:pPr>
        <w:pStyle w:val="BodyText"/>
        <w:numPr>
          <w:ilvl w:val="0"/>
          <w:numId w:val="21"/>
        </w:numPr>
        <w:tabs>
          <w:tab w:val="clear" w:pos="720"/>
          <w:tab w:val="left" w:pos="0" w:leader="none"/>
        </w:tabs>
        <w:ind w:hanging="283" w:start="720"/>
        <w:rPr/>
      </w:pPr>
      <w:hyperlink r:id="rId28" w:tgtFrame="_new">
        <w:r>
          <w:rPr>
            <w:rStyle w:val="Hyperlink"/>
          </w:rPr>
          <w:t>https://learn.microsoft.com/tr-tr/troubleshoot/system-center/scom/troubleshoot-gray-agent-states</w:t>
        </w:r>
      </w:hyperlink>
    </w:p>
    <w:p>
      <w:pPr>
        <w:pStyle w:val="BodyText"/>
        <w:numPr>
          <w:ilvl w:val="0"/>
          <w:numId w:val="22"/>
        </w:numPr>
        <w:tabs>
          <w:tab w:val="clear" w:pos="720"/>
          <w:tab w:val="left" w:pos="0" w:leader="none"/>
        </w:tabs>
        <w:ind w:hanging="283" w:start="720"/>
        <w:rPr/>
      </w:pPr>
      <w:hyperlink r:id="rId29" w:tgtFrame="_new">
        <w:r>
          <w:rPr>
            <w:rStyle w:val="Hyperlink"/>
          </w:rPr>
          <w:t>https://apiup.com.tr/prometheus-kullanimi-sunucu-performansini-izleme-ile-sisteminizin-sagligini-koruyun</w:t>
        </w:r>
      </w:hyperlink>
    </w:p>
    <w:p>
      <w:pPr>
        <w:pStyle w:val="Normal"/>
        <w:widowControl/>
        <w:bidi w:val="0"/>
        <w:spacing w:lineRule="auto" w:line="276" w:before="0" w:after="200"/>
        <w:jc w:val="start"/>
        <w:rPr>
          <w:color w:val="0000EE"/>
          <w:u w:val="single"/>
        </w:rPr>
      </w:pPr>
      <w:r>
        <w:rPr/>
      </w:r>
    </w:p>
    <w:sectPr>
      <w:type w:val="nextPage"/>
      <w:pgSz w:w="12240" w:h="15840"/>
      <w:pgMar w:left="1800" w:right="180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a2" w:characterSet="windows-1254"/>
    <w:family w:val="roman"/>
    <w:pitch w:val="variable"/>
  </w:font>
  <w:font w:name="Cambria">
    <w:charset w:val="a2" w:characterSet="windows-1254"/>
    <w:family w:val="roman"/>
    <w:pitch w:val="variable"/>
  </w:font>
  <w:font w:name="Calibri">
    <w:charset w:val="a2" w:characterSet="windows-1254"/>
    <w:family w:val="roman"/>
    <w:pitch w:val="variable"/>
  </w:font>
  <w:font w:name="Courier">
    <w:altName w:val="Courier New"/>
    <w:charset w:val="a2" w:characterSet="windows-1254"/>
    <w:family w:val="roman"/>
    <w:pitch w:val="variable"/>
  </w:font>
  <w:font w:name="OpenSymbol">
    <w:altName w:val="Arial Unicode MS"/>
    <w:charset w:val="02"/>
    <w:family w:val="auto"/>
    <w:pitch w:val="default"/>
  </w:font>
  <w:font w:name="Liberation Sans">
    <w:altName w:val="Arial"/>
    <w:charset w:val="a2" w:characterSet="windows-1254"/>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2">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
    <w:lvl w:ilvl="0">
      <w:start w:val="1"/>
      <w:numFmt w:val="bullet"/>
      <w:lvlText w:val=""/>
      <w:lvlJc w:val="start"/>
      <w:pPr>
        <w:tabs>
          <w:tab w:val="num" w:pos="720"/>
        </w:tabs>
        <w:ind w:start="72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
    <w:lvl w:ilvl="0">
      <w:start w:val="1"/>
      <w:numFmt w:val="bullet"/>
      <w:lvlText w:val=""/>
      <w:lvlJc w:val="start"/>
      <w:pPr>
        <w:tabs>
          <w:tab w:val="num" w:pos="1080"/>
        </w:tabs>
        <w:ind w:start="108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
    <w:lvl w:ilvl="0">
      <w:start w:val="1"/>
      <w:numFmt w:val="decimal"/>
      <w:lvlText w:val="%1."/>
      <w:lvlJc w:val="start"/>
      <w:pPr>
        <w:tabs>
          <w:tab w:val="num" w:pos="1080"/>
        </w:tabs>
        <w:ind w:start="108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1">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2">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3">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4">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5">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6">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7">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8">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9">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0">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1">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2">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Tahoma"/>
        <w:sz w:val="22"/>
        <w:szCs w:val="22"/>
        <w:lang w:val="en-US" w:eastAsia="en-US" w:bidi="ar-SA"/>
      </w:rPr>
    </w:rPrDefault>
    <w:pPrDefault>
      <w:pPr>
        <w:suppressAutoHyphens w:val="true"/>
      </w:pPr>
    </w:pPrDefault>
  </w:docDefaults>
  <w:style w:type="paragraph" w:styleId="Normal">
    <w:name w:val="Normal"/>
    <w:qFormat/>
    <w:pPr>
      <w:widowControl/>
      <w:kinsoku w:val="true"/>
      <w:overflowPunct w:val="true"/>
      <w:autoSpaceDE w:val="true"/>
      <w:bidi w:val="0"/>
      <w:spacing w:lineRule="auto" w:line="276" w:before="0" w:after="200"/>
      <w:jc w:val="start"/>
    </w:pPr>
    <w:rPr>
      <w:rFonts w:ascii="Cambria" w:hAnsi="Cambria" w:eastAsia="ＭＳ 明朝"/>
      <w:color w:val="auto"/>
      <w:kern w:val="0"/>
      <w:sz w:val="22"/>
      <w:szCs w:val="22"/>
      <w:lang w:val="en-US" w:eastAsia="en-US" w:bidi="ar-SA"/>
    </w:rPr>
  </w:style>
  <w:style w:type="paragraph" w:styleId="Heading1">
    <w:name w:val="heading 1"/>
    <w:basedOn w:val="Normal"/>
    <w:next w:val="Normal"/>
    <w:link w:val="Heading1Char"/>
    <w:qFormat/>
    <w:pPr>
      <w:keepNext w:val="true"/>
      <w:keepLines/>
      <w:numPr>
        <w:ilvl w:val="0"/>
        <w:numId w:val="0"/>
      </w:numPr>
      <w:spacing w:before="480" w:after="0"/>
      <w:outlineLvl w:val="0"/>
    </w:pPr>
    <w:rPr>
      <w:rFonts w:ascii="Calibri" w:hAnsi="Calibri" w:eastAsia="ＭＳ ゴシック" w:cs="Tahoma"/>
      <w:b/>
      <w:bCs/>
      <w:color w:themeColor="accent1" w:themeShade="bf" w:val="365F91"/>
      <w:sz w:val="28"/>
      <w:szCs w:val="28"/>
    </w:rPr>
  </w:style>
  <w:style w:type="paragraph" w:styleId="Heading2">
    <w:name w:val="heading 2"/>
    <w:basedOn w:val="Normal"/>
    <w:next w:val="Normal"/>
    <w:link w:val="Heading2Char"/>
    <w:qFormat/>
    <w:pPr>
      <w:keepNext w:val="true"/>
      <w:keepLines/>
      <w:numPr>
        <w:ilvl w:val="0"/>
        <w:numId w:val="0"/>
      </w:numPr>
      <w:spacing w:before="200" w:after="0"/>
      <w:outlineLvl w:val="1"/>
    </w:pPr>
    <w:rPr>
      <w:rFonts w:ascii="Calibri" w:hAnsi="Calibri" w:eastAsia="ＭＳ ゴシック" w:cs="Tahoma"/>
      <w:b/>
      <w:bCs/>
      <w:color w:themeColor="accent1" w:val="4F81BD"/>
      <w:sz w:val="26"/>
      <w:szCs w:val="26"/>
    </w:rPr>
  </w:style>
  <w:style w:type="paragraph" w:styleId="Heading3">
    <w:name w:val="heading 3"/>
    <w:basedOn w:val="Normal"/>
    <w:next w:val="Normal"/>
    <w:link w:val="Heading3Char"/>
    <w:qFormat/>
    <w:pPr>
      <w:keepNext w:val="true"/>
      <w:keepLines/>
      <w:numPr>
        <w:ilvl w:val="0"/>
        <w:numId w:val="0"/>
      </w:numPr>
      <w:spacing w:before="200" w:after="0"/>
      <w:outlineLvl w:val="2"/>
    </w:pPr>
    <w:rPr>
      <w:rFonts w:ascii="Calibri" w:hAnsi="Calibri" w:eastAsia="ＭＳ ゴシック" w:cs="Tahoma"/>
      <w:b/>
      <w:bCs/>
      <w:color w:themeColor="accent1" w:val="4F81BD"/>
    </w:rPr>
  </w:style>
  <w:style w:type="paragraph" w:styleId="Heading4">
    <w:name w:val="heading 4"/>
    <w:basedOn w:val="Normal"/>
    <w:next w:val="Normal"/>
    <w:link w:val="Heading4Char"/>
    <w:qFormat/>
    <w:pPr>
      <w:keepNext w:val="true"/>
      <w:keepLines/>
      <w:numPr>
        <w:ilvl w:val="0"/>
        <w:numId w:val="0"/>
      </w:numPr>
      <w:spacing w:before="200" w:after="0"/>
      <w:outlineLvl w:val="3"/>
    </w:pPr>
    <w:rPr>
      <w:rFonts w:ascii="Calibri" w:hAnsi="Calibri" w:eastAsia="ＭＳ ゴシック" w:cs="Tahoma"/>
      <w:b/>
      <w:bCs/>
      <w:i/>
      <w:iCs/>
      <w:color w:themeColor="accent1" w:val="4F81BD"/>
    </w:rPr>
  </w:style>
  <w:style w:type="paragraph" w:styleId="Heading5">
    <w:name w:val="heading 5"/>
    <w:basedOn w:val="Normal"/>
    <w:next w:val="Normal"/>
    <w:link w:val="Heading5Char"/>
    <w:qFormat/>
    <w:pPr>
      <w:keepNext w:val="true"/>
      <w:keepLines/>
      <w:numPr>
        <w:ilvl w:val="0"/>
        <w:numId w:val="0"/>
      </w:numPr>
      <w:spacing w:before="200" w:after="0"/>
      <w:outlineLvl w:val="4"/>
    </w:pPr>
    <w:rPr>
      <w:rFonts w:ascii="Calibri" w:hAnsi="Calibri" w:eastAsia="ＭＳ ゴシック" w:cs="Tahoma"/>
      <w:color w:themeColor="accent1" w:themeShade="7f" w:val="243F60"/>
    </w:rPr>
  </w:style>
  <w:style w:type="paragraph" w:styleId="Heading6">
    <w:name w:val="heading 6"/>
    <w:basedOn w:val="Normal"/>
    <w:next w:val="Normal"/>
    <w:link w:val="Heading6Char"/>
    <w:qFormat/>
    <w:pPr>
      <w:keepNext w:val="true"/>
      <w:keepLines/>
      <w:numPr>
        <w:ilvl w:val="0"/>
        <w:numId w:val="0"/>
      </w:numPr>
      <w:spacing w:before="200" w:after="0"/>
      <w:outlineLvl w:val="5"/>
    </w:pPr>
    <w:rPr>
      <w:rFonts w:ascii="Calibri" w:hAnsi="Calibri" w:eastAsia="ＭＳ ゴシック" w:cs="Tahoma"/>
      <w:i/>
      <w:iCs/>
      <w:color w:themeColor="accent1" w:themeShade="7f" w:val="243F60"/>
    </w:rPr>
  </w:style>
  <w:style w:type="paragraph" w:styleId="Heading7">
    <w:name w:val="heading 7"/>
    <w:basedOn w:val="Normal"/>
    <w:next w:val="Normal"/>
    <w:link w:val="Heading7Char"/>
    <w:qFormat/>
    <w:pPr>
      <w:keepNext w:val="true"/>
      <w:keepLines/>
      <w:numPr>
        <w:ilvl w:val="0"/>
        <w:numId w:val="0"/>
      </w:numPr>
      <w:spacing w:before="200" w:after="0"/>
      <w:outlineLvl w:val="6"/>
    </w:pPr>
    <w:rPr>
      <w:rFonts w:ascii="Calibri" w:hAnsi="Calibri" w:eastAsia="ＭＳ ゴシック" w:cs="Tahoma"/>
      <w:i/>
      <w:iCs/>
      <w:color w:themeColor="dark1" w:themeTint="bf" w:val="404040"/>
    </w:rPr>
  </w:style>
  <w:style w:type="paragraph" w:styleId="Heading8">
    <w:name w:val="heading 8"/>
    <w:basedOn w:val="Normal"/>
    <w:next w:val="Normal"/>
    <w:link w:val="Heading8Char"/>
    <w:qFormat/>
    <w:pPr>
      <w:keepNext w:val="true"/>
      <w:keepLines/>
      <w:numPr>
        <w:ilvl w:val="0"/>
        <w:numId w:val="0"/>
      </w:numPr>
      <w:spacing w:before="200" w:after="0"/>
      <w:outlineLvl w:val="7"/>
    </w:pPr>
    <w:rPr>
      <w:rFonts w:ascii="Calibri" w:hAnsi="Calibri" w:eastAsia="ＭＳ ゴシック" w:cs="Tahoma"/>
      <w:color w:themeColor="accent1" w:val="4F81BD"/>
      <w:sz w:val="20"/>
      <w:szCs w:val="20"/>
    </w:rPr>
  </w:style>
  <w:style w:type="paragraph" w:styleId="Heading9">
    <w:name w:val="heading 9"/>
    <w:basedOn w:val="Normal"/>
    <w:next w:val="Normal"/>
    <w:link w:val="Heading9Char"/>
    <w:qFormat/>
    <w:pPr>
      <w:keepNext w:val="true"/>
      <w:keepLines/>
      <w:numPr>
        <w:ilvl w:val="0"/>
        <w:numId w:val="0"/>
      </w:numPr>
      <w:spacing w:before="200" w:after="0"/>
      <w:outlineLvl w:val="8"/>
    </w:pPr>
    <w:rPr>
      <w:rFonts w:ascii="Calibri" w:hAnsi="Calibri" w:eastAsia="ＭＳ ゴシック" w:cs="Tahoma"/>
      <w:i/>
      <w:iCs/>
      <w:color w:themeColor="dark1" w:themeTint="bf" w:val="404040"/>
      <w:sz w:val="20"/>
      <w:szCs w:val="20"/>
    </w:rPr>
  </w:style>
  <w:style w:type="character" w:styleId="HeaderChar">
    <w:name w:val="Header Char"/>
    <w:basedOn w:val="DefaultParagraphFont"/>
    <w:qFormat/>
    <w:rPr/>
  </w:style>
  <w:style w:type="character" w:styleId="FooterChar">
    <w:name w:val="Footer Char"/>
    <w:basedOn w:val="DefaultParagraphFont"/>
    <w:qFormat/>
    <w:rPr/>
  </w:style>
  <w:style w:type="character" w:styleId="DefaultParagraphFont">
    <w:name w:val="Default Paragraph Font"/>
    <w:qFormat/>
    <w:rPr/>
  </w:style>
  <w:style w:type="character" w:styleId="Heading1Char">
    <w:name w:val="Heading 1 Char"/>
    <w:basedOn w:val="DefaultParagraphFont"/>
    <w:qFormat/>
    <w:rPr>
      <w:rFonts w:ascii="Calibri" w:hAnsi="Calibri" w:eastAsia="ＭＳ ゴシック" w:cs="Tahoma"/>
      <w:b/>
      <w:bCs/>
      <w:color w:themeColor="accent1" w:themeShade="bf" w:val="365F91"/>
      <w:sz w:val="28"/>
      <w:szCs w:val="28"/>
    </w:rPr>
  </w:style>
  <w:style w:type="character" w:styleId="Heading2Char">
    <w:name w:val="Heading 2 Char"/>
    <w:basedOn w:val="DefaultParagraphFont"/>
    <w:qFormat/>
    <w:rPr>
      <w:rFonts w:ascii="Calibri" w:hAnsi="Calibri" w:eastAsia="ＭＳ ゴシック" w:cs="Tahoma"/>
      <w:b/>
      <w:bCs/>
      <w:color w:themeColor="accent1" w:val="4F81BD"/>
      <w:sz w:val="26"/>
      <w:szCs w:val="26"/>
    </w:rPr>
  </w:style>
  <w:style w:type="character" w:styleId="Heading3Char">
    <w:name w:val="Heading 3 Char"/>
    <w:basedOn w:val="DefaultParagraphFont"/>
    <w:qFormat/>
    <w:rPr>
      <w:rFonts w:ascii="Calibri" w:hAnsi="Calibri" w:eastAsia="ＭＳ ゴシック" w:cs="Tahoma"/>
      <w:b/>
      <w:bCs/>
      <w:color w:themeColor="accent1" w:val="4F81BD"/>
    </w:rPr>
  </w:style>
  <w:style w:type="character" w:styleId="TitleChar">
    <w:name w:val="Title Char"/>
    <w:basedOn w:val="DefaultParagraphFont"/>
    <w:qFormat/>
    <w:rPr>
      <w:rFonts w:ascii="Calibri" w:hAnsi="Calibri" w:eastAsia="ＭＳ ゴシック" w:cs="Tahoma"/>
      <w:color w:themeColor="dark2" w:themeShade="bf" w:val="17365D"/>
      <w:spacing w:val="5"/>
      <w:kern w:val="2"/>
      <w:sz w:val="52"/>
      <w:szCs w:val="52"/>
    </w:rPr>
  </w:style>
  <w:style w:type="character" w:styleId="SubtitleChar">
    <w:name w:val="Subtitle Char"/>
    <w:basedOn w:val="DefaultParagraphFont"/>
    <w:qFormat/>
    <w:rPr>
      <w:rFonts w:ascii="Calibri" w:hAnsi="Calibri" w:eastAsia="ＭＳ ゴシック" w:cs="Tahoma"/>
      <w:i/>
      <w:iCs/>
      <w:color w:themeColor="accent1" w:val="4F81BD"/>
      <w:spacing w:val="15"/>
      <w:sz w:val="24"/>
      <w:szCs w:val="24"/>
    </w:rPr>
  </w:style>
  <w:style w:type="character" w:styleId="BodyTextChar">
    <w:name w:val="Body Text Char"/>
    <w:basedOn w:val="DefaultParagraphFont"/>
    <w:qFormat/>
    <w:rPr/>
  </w:style>
  <w:style w:type="character" w:styleId="BodyText2Char">
    <w:name w:val="Body Text 2 Char"/>
    <w:basedOn w:val="DefaultParagraphFont"/>
    <w:link w:val="BodyText2"/>
    <w:qFormat/>
    <w:rPr/>
  </w:style>
  <w:style w:type="character" w:styleId="BodyText3Char">
    <w:name w:val="Body Text 3 Char"/>
    <w:basedOn w:val="DefaultParagraphFont"/>
    <w:link w:val="BodyText3"/>
    <w:qFormat/>
    <w:rPr>
      <w:sz w:val="16"/>
      <w:szCs w:val="16"/>
    </w:rPr>
  </w:style>
  <w:style w:type="character" w:styleId="MacroTextChar">
    <w:name w:val="Macro Text Char"/>
    <w:basedOn w:val="DefaultParagraphFont"/>
    <w:link w:val="MacroText"/>
    <w:qFormat/>
    <w:rPr>
      <w:rFonts w:ascii="Courier" w:hAnsi="Courier"/>
      <w:sz w:val="20"/>
      <w:szCs w:val="20"/>
    </w:rPr>
  </w:style>
  <w:style w:type="character" w:styleId="QuoteChar">
    <w:name w:val="Quote Char"/>
    <w:basedOn w:val="DefaultParagraphFont"/>
    <w:link w:val="Quote"/>
    <w:qFormat/>
    <w:rPr>
      <w:i/>
      <w:iCs/>
      <w:color w:themeColor="dark1" w:val="000000"/>
    </w:rPr>
  </w:style>
  <w:style w:type="character" w:styleId="Heading4Char">
    <w:name w:val="Heading 4 Char"/>
    <w:basedOn w:val="DefaultParagraphFont"/>
    <w:qFormat/>
    <w:rPr>
      <w:rFonts w:ascii="Calibri" w:hAnsi="Calibri" w:eastAsia="ＭＳ ゴシック" w:cs="Tahoma"/>
      <w:b/>
      <w:bCs/>
      <w:i/>
      <w:iCs/>
      <w:color w:themeColor="accent1" w:val="4F81BD"/>
    </w:rPr>
  </w:style>
  <w:style w:type="character" w:styleId="Heading5Char">
    <w:name w:val="Heading 5 Char"/>
    <w:basedOn w:val="DefaultParagraphFont"/>
    <w:qFormat/>
    <w:rPr>
      <w:rFonts w:ascii="Calibri" w:hAnsi="Calibri" w:eastAsia="ＭＳ ゴシック" w:cs="Tahoma"/>
      <w:color w:themeColor="accent1" w:themeShade="7f" w:val="243F60"/>
    </w:rPr>
  </w:style>
  <w:style w:type="character" w:styleId="Heading6Char">
    <w:name w:val="Heading 6 Char"/>
    <w:basedOn w:val="DefaultParagraphFont"/>
    <w:qFormat/>
    <w:rPr>
      <w:rFonts w:ascii="Calibri" w:hAnsi="Calibri" w:eastAsia="ＭＳ ゴシック" w:cs="Tahoma"/>
      <w:i/>
      <w:iCs/>
      <w:color w:themeColor="accent1" w:themeShade="7f" w:val="243F60"/>
    </w:rPr>
  </w:style>
  <w:style w:type="character" w:styleId="Heading7Char">
    <w:name w:val="Heading 7 Char"/>
    <w:basedOn w:val="DefaultParagraphFont"/>
    <w:qFormat/>
    <w:rPr>
      <w:rFonts w:ascii="Calibri" w:hAnsi="Calibri" w:eastAsia="ＭＳ ゴシック" w:cs="Tahoma"/>
      <w:i/>
      <w:iCs/>
      <w:color w:themeColor="dark1" w:themeTint="bf" w:val="404040"/>
    </w:rPr>
  </w:style>
  <w:style w:type="character" w:styleId="Heading8Char">
    <w:name w:val="Heading 8 Char"/>
    <w:basedOn w:val="DefaultParagraphFont"/>
    <w:qFormat/>
    <w:rPr>
      <w:rFonts w:ascii="Calibri" w:hAnsi="Calibri" w:eastAsia="ＭＳ ゴシック" w:cs="Tahoma"/>
      <w:color w:themeColor="accent1" w:val="4F81BD"/>
      <w:sz w:val="20"/>
      <w:szCs w:val="20"/>
    </w:rPr>
  </w:style>
  <w:style w:type="character" w:styleId="Heading9Char">
    <w:name w:val="Heading 9 Char"/>
    <w:basedOn w:val="DefaultParagraphFont"/>
    <w:qFormat/>
    <w:rPr>
      <w:rFonts w:ascii="Calibri" w:hAnsi="Calibri" w:eastAsia="ＭＳ ゴシック" w:cs="Tahoma"/>
      <w:i/>
      <w:iCs/>
      <w:color w:themeColor="dark1" w:themeTint="bf" w:val="404040"/>
      <w:sz w:val="20"/>
      <w:szCs w:val="20"/>
    </w:rPr>
  </w:style>
  <w:style w:type="character" w:styleId="Strong">
    <w:name w:val="Strong"/>
    <w:basedOn w:val="DefaultParagraphFont"/>
    <w:qFormat/>
    <w:rPr>
      <w:b/>
      <w:bCs/>
    </w:rPr>
  </w:style>
  <w:style w:type="character" w:styleId="Emphasis">
    <w:name w:val="Emphasis"/>
    <w:basedOn w:val="DefaultParagraphFont"/>
    <w:qFormat/>
    <w:rPr>
      <w:i/>
      <w:iCs/>
    </w:rPr>
  </w:style>
  <w:style w:type="character" w:styleId="IntenseQuoteChar">
    <w:name w:val="Intense Quote Char"/>
    <w:basedOn w:val="DefaultParagraphFont"/>
    <w:link w:val="IntenseQuote"/>
    <w:qFormat/>
    <w:rPr>
      <w:b/>
      <w:bCs/>
      <w:i/>
      <w:iCs/>
      <w:color w:themeColor="accent1" w:val="4F81BD"/>
    </w:rPr>
  </w:style>
  <w:style w:type="character" w:styleId="SubtleEmphasis">
    <w:name w:val="Subtle Emphasis"/>
    <w:basedOn w:val="DefaultParagraphFont"/>
    <w:qFormat/>
    <w:rPr>
      <w:i/>
      <w:iCs/>
      <w:color w:themeColor="dark1" w:themeTint="7f" w:val="808080"/>
    </w:rPr>
  </w:style>
  <w:style w:type="character" w:styleId="IntenseEmphasis">
    <w:name w:val="Intense Emphasis"/>
    <w:basedOn w:val="DefaultParagraphFont"/>
    <w:qFormat/>
    <w:rPr>
      <w:b/>
      <w:bCs/>
      <w:i/>
      <w:iCs/>
      <w:color w:themeColor="accent1" w:val="4F81BD"/>
    </w:rPr>
  </w:style>
  <w:style w:type="character" w:styleId="SubtleReference">
    <w:name w:val="Subtle Reference"/>
    <w:basedOn w:val="DefaultParagraphFont"/>
    <w:qFormat/>
    <w:rPr>
      <w:smallCaps/>
      <w:color w:themeColor="accent2" w:val="C0504D"/>
      <w:u w:val="single"/>
    </w:rPr>
  </w:style>
  <w:style w:type="character" w:styleId="IntenseReference">
    <w:name w:val="Intense Reference"/>
    <w:basedOn w:val="DefaultParagraphFont"/>
    <w:qFormat/>
    <w:rPr>
      <w:b/>
      <w:bCs/>
      <w:smallCaps/>
      <w:color w:themeColor="accent2" w:val="C0504D"/>
      <w:spacing w:val="5"/>
      <w:u w:val="single"/>
    </w:rPr>
  </w:style>
  <w:style w:type="character" w:styleId="BookTitle">
    <w:name w:val="Book Title"/>
    <w:basedOn w:val="DefaultParagraphFont"/>
    <w:qFormat/>
    <w:rPr>
      <w:b/>
      <w:bCs/>
      <w:smallCaps/>
      <w:spacing w:val="5"/>
    </w:rPr>
  </w:style>
  <w:style w:type="character" w:styleId="Hyperlink">
    <w:name w:val="Hyperlink"/>
    <w:rPr>
      <w:color w:val="000080"/>
      <w:u w:val="single"/>
    </w:rPr>
  </w:style>
  <w:style w:type="character" w:styleId="Maddeimleri">
    <w:name w:val="Madde imleri"/>
    <w:qFormat/>
    <w:rPr>
      <w:rFonts w:ascii="OpenSymbol" w:hAnsi="OpenSymbol" w:eastAsia="OpenSymbol" w:cs="OpenSymbol"/>
    </w:rPr>
  </w:style>
  <w:style w:type="paragraph" w:styleId="Balk">
    <w:name w:val="Başlı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BodyTextChar"/>
    <w:pPr>
      <w:spacing w:before="0" w:after="120"/>
    </w:pPr>
    <w:rPr/>
  </w:style>
  <w:style w:type="paragraph" w:styleId="List">
    <w:name w:val="List"/>
    <w:basedOn w:val="Normal"/>
    <w:pPr>
      <w:spacing w:before="0" w:after="200"/>
      <w:ind w:hanging="360" w:start="360"/>
      <w:contextualSpacing/>
    </w:pPr>
    <w:rPr/>
  </w:style>
  <w:style w:type="paragraph" w:styleId="Caption">
    <w:name w:val="caption"/>
    <w:basedOn w:val="Normal"/>
    <w:next w:val="Normal"/>
    <w:qFormat/>
    <w:pPr>
      <w:spacing w:lineRule="auto" w:line="240"/>
    </w:pPr>
    <w:rPr>
      <w:b/>
      <w:bCs/>
      <w:color w:themeColor="accent1" w:val="4F81BD"/>
      <w:sz w:val="18"/>
      <w:szCs w:val="18"/>
    </w:rPr>
  </w:style>
  <w:style w:type="paragraph" w:styleId="Dizin">
    <w:name w:val="Dizin"/>
    <w:basedOn w:val="Normal"/>
    <w:qFormat/>
    <w:pPr>
      <w:suppressLineNumbers/>
    </w:pPr>
    <w:rPr>
      <w:rFonts w:cs="Arial"/>
    </w:rPr>
  </w:style>
  <w:style w:type="paragraph" w:styleId="stBilgiveAltBilgi">
    <w:name w:val="Üst Bilgi ve Alt Bilgi"/>
    <w:basedOn w:val="Normal"/>
    <w:qFormat/>
    <w:pPr/>
    <w:rPr/>
  </w:style>
  <w:style w:type="paragraph" w:styleId="Header">
    <w:name w:val="header"/>
    <w:basedOn w:val="Normal"/>
    <w:link w:val="HeaderChar"/>
    <w:pPr>
      <w:tabs>
        <w:tab w:val="clear" w:pos="720"/>
        <w:tab w:val="center" w:pos="4680" w:leader="none"/>
        <w:tab w:val="right" w:pos="9360" w:leader="none"/>
      </w:tabs>
      <w:spacing w:lineRule="auto" w:line="240" w:before="0" w:after="0"/>
    </w:pPr>
    <w:rPr/>
  </w:style>
  <w:style w:type="paragraph" w:styleId="Footer">
    <w:name w:val="footer"/>
    <w:basedOn w:val="Normal"/>
    <w:link w:val="FooterChar"/>
    <w:pPr>
      <w:tabs>
        <w:tab w:val="clear" w:pos="720"/>
        <w:tab w:val="center" w:pos="4680" w:leader="none"/>
        <w:tab w:val="right" w:pos="9360" w:leader="none"/>
      </w:tabs>
      <w:spacing w:lineRule="auto" w:line="240" w:before="0" w:after="0"/>
    </w:pPr>
    <w:rPr/>
  </w:style>
  <w:style w:type="paragraph" w:styleId="NoSpacing">
    <w:name w:val="No Spacing"/>
    <w:qFormat/>
    <w:pPr>
      <w:widowControl/>
      <w:kinsoku w:val="true"/>
      <w:overflowPunct w:val="true"/>
      <w:autoSpaceDE w:val="true"/>
      <w:bidi w:val="0"/>
      <w:spacing w:lineRule="auto" w:line="240" w:before="0" w:after="0"/>
      <w:jc w:val="start"/>
    </w:pPr>
    <w:rPr>
      <w:rFonts w:ascii="Cambria" w:hAnsi="Cambria" w:eastAsia="ＭＳ 明朝"/>
      <w:color w:val="auto"/>
      <w:kern w:val="0"/>
      <w:sz w:val="22"/>
      <w:szCs w:val="22"/>
      <w:lang w:val="en-US" w:eastAsia="en-US" w:bidi="ar-SA"/>
    </w:rPr>
  </w:style>
  <w:style w:type="paragraph" w:styleId="Title">
    <w:name w:val="Title"/>
    <w:basedOn w:val="Normal"/>
    <w:next w:val="Normal"/>
    <w:link w:val="TitleChar"/>
    <w:qFormat/>
    <w:pPr>
      <w:pBdr>
        <w:bottom w:val="single" w:sz="8" w:space="4" w:color="4F81BD"/>
      </w:pBdr>
      <w:spacing w:lineRule="auto" w:line="240" w:before="0" w:after="300"/>
      <w:contextualSpacing/>
    </w:pPr>
    <w:rPr>
      <w:rFonts w:ascii="Calibri" w:hAnsi="Calibri" w:eastAsia="ＭＳ ゴシック" w:cs="Tahoma"/>
      <w:color w:themeColor="dark2" w:themeShade="bf" w:val="17365D"/>
      <w:spacing w:val="5"/>
      <w:kern w:val="2"/>
      <w:sz w:val="52"/>
      <w:szCs w:val="52"/>
    </w:rPr>
  </w:style>
  <w:style w:type="paragraph" w:styleId="Subtitle">
    <w:name w:val="Subtitle"/>
    <w:basedOn w:val="Normal"/>
    <w:next w:val="Normal"/>
    <w:link w:val="SubtitleChar"/>
    <w:qFormat/>
    <w:pPr/>
    <w:rPr>
      <w:rFonts w:ascii="Calibri" w:hAnsi="Calibri" w:eastAsia="ＭＳ ゴシック" w:cs="Tahoma"/>
      <w:i/>
      <w:iCs/>
      <w:color w:themeColor="accent1" w:val="4F81BD"/>
      <w:spacing w:val="15"/>
      <w:sz w:val="24"/>
      <w:szCs w:val="24"/>
    </w:rPr>
  </w:style>
  <w:style w:type="paragraph" w:styleId="ListParagraph">
    <w:name w:val="List Paragraph"/>
    <w:basedOn w:val="Normal"/>
    <w:qFormat/>
    <w:pPr>
      <w:spacing w:before="0" w:after="200"/>
      <w:ind w:start="720"/>
      <w:contextualSpacing/>
    </w:pPr>
    <w:rPr/>
  </w:style>
  <w:style w:type="paragraph" w:styleId="BodyText2">
    <w:name w:val="Body Text 2"/>
    <w:basedOn w:val="Normal"/>
    <w:link w:val="BodyText2Char"/>
    <w:qFormat/>
    <w:pPr>
      <w:spacing w:lineRule="auto" w:line="480" w:before="0" w:after="120"/>
    </w:pPr>
    <w:rPr/>
  </w:style>
  <w:style w:type="paragraph" w:styleId="BodyText3">
    <w:name w:val="Body Text 3"/>
    <w:basedOn w:val="Normal"/>
    <w:link w:val="BodyText3Char"/>
    <w:qFormat/>
    <w:pPr>
      <w:spacing w:before="0" w:after="120"/>
    </w:pPr>
    <w:rPr>
      <w:sz w:val="16"/>
      <w:szCs w:val="16"/>
    </w:rPr>
  </w:style>
  <w:style w:type="paragraph" w:styleId="List2">
    <w:name w:val="List 2"/>
    <w:basedOn w:val="Normal"/>
    <w:qFormat/>
    <w:pPr>
      <w:spacing w:before="0" w:after="200"/>
      <w:ind w:hanging="360" w:start="720"/>
      <w:contextualSpacing/>
    </w:pPr>
    <w:rPr/>
  </w:style>
  <w:style w:type="paragraph" w:styleId="List3">
    <w:name w:val="List 3"/>
    <w:basedOn w:val="Normal"/>
    <w:qFormat/>
    <w:pPr>
      <w:spacing w:before="0" w:after="200"/>
      <w:ind w:hanging="360" w:start="1080"/>
      <w:contextualSpacing/>
    </w:pPr>
    <w:rPr/>
  </w:style>
  <w:style w:type="paragraph" w:styleId="ListBullet">
    <w:name w:val="List Bullet"/>
    <w:basedOn w:val="Normal"/>
    <w:pPr>
      <w:numPr>
        <w:ilvl w:val="0"/>
        <w:numId w:val="2"/>
      </w:numPr>
      <w:spacing w:before="0" w:after="200"/>
      <w:contextualSpacing/>
    </w:pPr>
    <w:rPr/>
  </w:style>
  <w:style w:type="paragraph" w:styleId="ListBullet2">
    <w:name w:val="List Bullet 2"/>
    <w:basedOn w:val="Normal"/>
    <w:pPr>
      <w:numPr>
        <w:ilvl w:val="0"/>
        <w:numId w:val="3"/>
      </w:numPr>
      <w:spacing w:before="0" w:after="200"/>
      <w:contextualSpacing/>
    </w:pPr>
    <w:rPr/>
  </w:style>
  <w:style w:type="paragraph" w:styleId="ListBullet3">
    <w:name w:val="List Bullet 3"/>
    <w:basedOn w:val="Normal"/>
    <w:pPr>
      <w:numPr>
        <w:ilvl w:val="0"/>
        <w:numId w:val="4"/>
      </w:numPr>
      <w:spacing w:before="0" w:after="200"/>
      <w:contextualSpacing/>
    </w:pPr>
    <w:rPr/>
  </w:style>
  <w:style w:type="paragraph" w:styleId="ListNumber">
    <w:name w:val="List Number"/>
    <w:basedOn w:val="Normal"/>
    <w:pPr>
      <w:numPr>
        <w:ilvl w:val="0"/>
        <w:numId w:val="5"/>
      </w:numPr>
      <w:spacing w:before="0" w:after="200"/>
      <w:contextualSpacing/>
    </w:pPr>
    <w:rPr/>
  </w:style>
  <w:style w:type="paragraph" w:styleId="ListNumber2">
    <w:name w:val="List Number 2"/>
    <w:basedOn w:val="Normal"/>
    <w:pPr>
      <w:numPr>
        <w:ilvl w:val="0"/>
        <w:numId w:val="6"/>
      </w:numPr>
      <w:spacing w:before="0" w:after="200"/>
      <w:contextualSpacing/>
    </w:pPr>
    <w:rPr/>
  </w:style>
  <w:style w:type="paragraph" w:styleId="ListNumber3">
    <w:name w:val="List Number 3"/>
    <w:basedOn w:val="Normal"/>
    <w:pPr>
      <w:numPr>
        <w:ilvl w:val="0"/>
        <w:numId w:val="7"/>
      </w:numPr>
      <w:spacing w:before="0" w:after="200"/>
      <w:contextualSpacing/>
    </w:pPr>
    <w:rPr/>
  </w:style>
  <w:style w:type="paragraph" w:styleId="ListContinue">
    <w:name w:val="List Continue"/>
    <w:basedOn w:val="Normal"/>
    <w:pPr>
      <w:spacing w:before="0" w:after="120"/>
      <w:ind w:start="360"/>
      <w:contextualSpacing/>
    </w:pPr>
    <w:rPr/>
  </w:style>
  <w:style w:type="paragraph" w:styleId="ListContinue2">
    <w:name w:val="List Continue 2"/>
    <w:basedOn w:val="Normal"/>
    <w:pPr>
      <w:spacing w:before="0" w:after="120"/>
      <w:ind w:start="720"/>
      <w:contextualSpacing/>
    </w:pPr>
    <w:rPr/>
  </w:style>
  <w:style w:type="paragraph" w:styleId="ListContinue3">
    <w:name w:val="List Continue 3"/>
    <w:basedOn w:val="Normal"/>
    <w:pPr>
      <w:spacing w:before="0" w:after="120"/>
      <w:ind w:start="1080"/>
      <w:contextualSpacing/>
    </w:pPr>
    <w:rPr/>
  </w:style>
  <w:style w:type="paragraph" w:styleId="MacroText">
    <w:name w:val="macro"/>
    <w:link w:val="MacroTextChar"/>
    <w:qFormat/>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kinsoku w:val="true"/>
      <w:overflowPunct w:val="true"/>
      <w:autoSpaceDE w:val="true"/>
      <w:bidi w:val="0"/>
      <w:spacing w:lineRule="auto" w:line="276" w:before="0" w:after="200"/>
      <w:jc w:val="start"/>
    </w:pPr>
    <w:rPr>
      <w:rFonts w:ascii="Courier" w:hAnsi="Courier" w:eastAsia="ＭＳ 明朝"/>
      <w:color w:val="auto"/>
      <w:kern w:val="0"/>
      <w:sz w:val="20"/>
      <w:szCs w:val="20"/>
      <w:lang w:val="en-US" w:eastAsia="en-US" w:bidi="ar-SA"/>
    </w:rPr>
  </w:style>
  <w:style w:type="paragraph" w:styleId="Quote">
    <w:name w:val="Quote"/>
    <w:basedOn w:val="Normal"/>
    <w:next w:val="Normal"/>
    <w:link w:val="QuoteChar"/>
    <w:qFormat/>
    <w:pPr/>
    <w:rPr>
      <w:i/>
      <w:iCs/>
      <w:color w:themeColor="dark1" w:val="000000"/>
    </w:rPr>
  </w:style>
  <w:style w:type="paragraph" w:styleId="IntenseQuote">
    <w:name w:val="Intense Quote"/>
    <w:basedOn w:val="Normal"/>
    <w:next w:val="Normal"/>
    <w:link w:val="IntenseQuoteChar"/>
    <w:qFormat/>
    <w:pPr>
      <w:pBdr>
        <w:bottom w:val="single" w:sz="4" w:space="4" w:color="4F81BD"/>
      </w:pBdr>
      <w:spacing w:before="200" w:after="280"/>
      <w:ind w:start="936" w:end="936"/>
    </w:pPr>
    <w:rPr>
      <w:b/>
      <w:bCs/>
      <w:i/>
      <w:iCs/>
      <w:color w:themeColor="accent1" w:val="4F81BD"/>
    </w:rPr>
  </w:style>
  <w:style w:type="paragraph" w:styleId="IndexHeading">
    <w:name w:val="index heading"/>
    <w:basedOn w:val="Balk"/>
    <w:pPr/>
    <w:rPr/>
  </w:style>
  <w:style w:type="paragraph" w:styleId="TOCHeading">
    <w:name w:val="TOC Heading"/>
    <w:basedOn w:val="Heading1"/>
    <w:next w:val="Normal"/>
    <w:qFormat/>
    <w:pPr>
      <w:outlineLvl w:val="9"/>
    </w:pPr>
    <w:rPr/>
  </w:style>
  <w:style w:type="paragraph" w:styleId="Yatayizgi">
    <w:name w:val="Yatay Çizgi"/>
    <w:basedOn w:val="Normal"/>
    <w:next w:val="BodyText"/>
    <w:qFormat/>
    <w:pPr>
      <w:suppressLineNumbers/>
      <w:pBdr>
        <w:bottom w:val="double" w:sz="2" w:space="0" w:color="808080"/>
      </w:pBdr>
      <w:spacing w:before="0" w:after="283"/>
    </w:pPr>
    <w:rPr>
      <w:sz w:val="12"/>
      <w:szCs w:val="12"/>
    </w:rPr>
  </w:style>
  <w:style w:type="numbering" w:styleId="ListeYok">
    <w:name w:val="Liste Yok"/>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manageengine.com/tr/applications_manager/server-monitoring.html" TargetMode="External"/><Relationship Id="rId3" Type="http://schemas.openxmlformats.org/officeDocument/2006/relationships/hyperlink" Target="https://linux-yonetimi.veriteknik.net.tr/gelismis-terminal-komutlari/sistem-yuekuenue-izleme" TargetMode="External"/><Relationship Id="rId4" Type="http://schemas.openxmlformats.org/officeDocument/2006/relationships/hyperlink" Target="https://www.manageengine.com/tr/network-monitoring/cpu-monitoring.html" TargetMode="External"/><Relationship Id="rId5" Type="http://schemas.openxmlformats.org/officeDocument/2006/relationships/hyperlink" Target="https://volkandogan.net/tr/linux-terminalden-ram-bellek-swap-degerlerine-bakmak/" TargetMode="External"/><Relationship Id="rId6" Type="http://schemas.openxmlformats.org/officeDocument/2006/relationships/hyperlink" Target="https://learn.microsoft.com/tr-tr/troubleshoot/azure/virtual-machines/linux/troubleshoot-performance-bottlenecks-linux" TargetMode="External"/><Relationship Id="rId7" Type="http://schemas.openxmlformats.org/officeDocument/2006/relationships/hyperlink" Target="https://learn.microsoft.com/tr-tr/azure/azure-local/manage/diskspd-overview" TargetMode="External"/><Relationship Id="rId8" Type="http://schemas.openxmlformats.org/officeDocument/2006/relationships/hyperlink" Target="https://learn.microsoft.com/tr-tr/troubleshoot/azure/virtual-machines/linux/troubleshoot-performance-bottlenecks-linux" TargetMode="External"/><Relationship Id="rId9" Type="http://schemas.openxmlformats.org/officeDocument/2006/relationships/hyperlink" Target="https://www.dell.com/support/kbdoc/tr-tr/000299934/live-optics-optik-ba&#351;bakan-gecikmeyle-ilgili-temel-bilgiler" TargetMode="External"/><Relationship Id="rId10" Type="http://schemas.openxmlformats.org/officeDocument/2006/relationships/hyperlink" Target="https://synchron.com.tr/ag-yonetiminde-hizmet-kalitesi-qos-ve-performans/" TargetMode="External"/><Relationship Id="rId11" Type="http://schemas.openxmlformats.org/officeDocument/2006/relationships/hyperlink" Target="https://linux-yonetimi.veriteknik.net.tr/gelismis-terminal-komutlari/sistem-yuekuenue-izleme" TargetMode="External"/><Relationship Id="rId12" Type="http://schemas.openxmlformats.org/officeDocument/2006/relationships/hyperlink" Target="https://www.clicksus.com/2025-seo-trendleri-neler" TargetMode="External"/><Relationship Id="rId13" Type="http://schemas.openxmlformats.org/officeDocument/2006/relationships/hyperlink" Target="https://www.manageengine.com/tr/applications_manager/server-monitoring.html" TargetMode="External"/><Relationship Id="rId14" Type="http://schemas.openxmlformats.org/officeDocument/2006/relationships/hyperlink" Target="https://tsplus.net/tr/top-server-performance-monitoring-tools/" TargetMode="External"/><Relationship Id="rId15" Type="http://schemas.openxmlformats.org/officeDocument/2006/relationships/hyperlink" Target="https://www.manageengine.com/tr/applications_manager/server-monitoring.html" TargetMode="External"/><Relationship Id="rId16" Type="http://schemas.openxmlformats.org/officeDocument/2006/relationships/hyperlink" Target="https://linux-yonetimi.veriteknik.net.tr/gelismis-terminal-komutlari/sistem-yuekuenue-izleme" TargetMode="External"/><Relationship Id="rId17" Type="http://schemas.openxmlformats.org/officeDocument/2006/relationships/hyperlink" Target="https://www.manageengine.com/tr/network-monitoring/cpu-monitoring.html" TargetMode="External"/><Relationship Id="rId18" Type="http://schemas.openxmlformats.org/officeDocument/2006/relationships/hyperlink" Target="https://volkandogan.net/tr/linux-terminalden-ram-bellek-swap-degerlerine-bakmak/" TargetMode="External"/><Relationship Id="rId19" Type="http://schemas.openxmlformats.org/officeDocument/2006/relationships/hyperlink" Target="https://learn.microsoft.com/tr-tr/troubleshoot/azure/virtual-machines/linux/troubleshoot-performance-bottlenecks-linux" TargetMode="External"/><Relationship Id="rId20" Type="http://schemas.openxmlformats.org/officeDocument/2006/relationships/hyperlink" Target="https://learn.microsoft.com/tr-tr/azure/azure-local/manage/diskspd-overview" TargetMode="External"/><Relationship Id="rId21" Type="http://schemas.openxmlformats.org/officeDocument/2006/relationships/hyperlink" Target="https://synchron.com.tr/ag-yonetiminde-hizmet-kalitesi-qos-ve-performans/" TargetMode="External"/><Relationship Id="rId22" Type="http://schemas.openxmlformats.org/officeDocument/2006/relationships/hyperlink" Target="https://www.clicksus.com/2025-seo-trendleri-neler" TargetMode="External"/><Relationship Id="rId23" Type="http://schemas.openxmlformats.org/officeDocument/2006/relationships/hyperlink" Target="https://tsplus.net/tr/top-server-performance-monitoring-tools/" TargetMode="External"/><Relationship Id="rId24" Type="http://schemas.openxmlformats.org/officeDocument/2006/relationships/hyperlink" Target="https://www.cozumpark.com/2025in-en-iyi-sunucu-izleme-araclari-kapsamli-inceleme/" TargetMode="External"/><Relationship Id="rId25" Type="http://schemas.openxmlformats.org/officeDocument/2006/relationships/hyperlink" Target="https://odya.com.tr/blog/solarwinds-server-and-application-monitor-sam-ile-bt-altyapinizi-tam-kontrol-altina-alin/" TargetMode="External"/><Relationship Id="rId26" Type="http://schemas.openxmlformats.org/officeDocument/2006/relationships/hyperlink" Target="https://grafana.com/blog/2024/07/02/identify-anomalies-outlier-detection-forecasting-how-grafana-cloud-uses-ai-ml-to-make-observability-easier/" TargetMode="External"/><Relationship Id="rId27" Type="http://schemas.openxmlformats.org/officeDocument/2006/relationships/hyperlink" Target="https://www.ibm.com/docs/tr/SSSHRK_4.2.0/ref/reference/ref_scripts_snmp_walk.pl.html" TargetMode="External"/><Relationship Id="rId28" Type="http://schemas.openxmlformats.org/officeDocument/2006/relationships/hyperlink" Target="https://learn.microsoft.com/tr-tr/troubleshoot/system-center/scom/troubleshoot-gray-agent-states" TargetMode="External"/><Relationship Id="rId29" Type="http://schemas.openxmlformats.org/officeDocument/2006/relationships/hyperlink" Target="https://apiup.com.tr/prometheus-kullanimi-sunucu-performansini-izleme-ile-sisteminizin-sagligini-koruyun" TargetMode="Externa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Relationship Id="rId3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TotalTime>
  <Application>LibreOffice/24.8.6.2$Windows_X86_64 LibreOffice_project/6d98ba145e9a8a39fc57bcc76981d1fb1316c60c</Application>
  <AppVersion>15.0000</AppVersion>
  <Pages>4</Pages>
  <Words>995</Words>
  <Characters>8318</Characters>
  <CharactersWithSpaces>9254</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dc:language>tr-TR</dc:language>
  <cp:lastModifiedBy/>
  <dcterms:modified xsi:type="dcterms:W3CDTF">2025-04-25T08:21:08Z</dcterms:modified>
  <cp:revision>2</cp:revision>
  <dc:subject/>
  <dc:title>1745515815.702968</dc:title>
</cp:coreProperties>
</file>

<file path=docProps/custom.xml><?xml version="1.0" encoding="utf-8"?>
<Properties xmlns="http://schemas.openxmlformats.org/officeDocument/2006/custom-properties" xmlns:vt="http://schemas.openxmlformats.org/officeDocument/2006/docPropsVTypes"/>
</file>